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A7422B">
        <w:rPr>
          <w:rFonts w:hint="eastAsia"/>
          <w:sz w:val="32"/>
          <w:szCs w:val="32"/>
        </w:rPr>
        <w:t>6</w:t>
      </w:r>
      <w:r w:rsidR="005239DE">
        <w:rPr>
          <w:rFonts w:hint="eastAsia"/>
          <w:sz w:val="32"/>
          <w:szCs w:val="32"/>
        </w:rPr>
        <w:t>期</w:t>
      </w:r>
      <w:r>
        <w:rPr>
          <w:rFonts w:hint="eastAsia"/>
          <w:sz w:val="32"/>
          <w:szCs w:val="32"/>
        </w:rPr>
        <w:t>（高教信息总</w:t>
      </w:r>
      <w:r w:rsidR="004556FF">
        <w:rPr>
          <w:rFonts w:hint="eastAsia"/>
          <w:sz w:val="32"/>
          <w:szCs w:val="32"/>
        </w:rPr>
        <w:t>30</w:t>
      </w:r>
      <w:r w:rsidR="00A7422B">
        <w:rPr>
          <w:rFonts w:hint="eastAsia"/>
          <w:sz w:val="32"/>
          <w:szCs w:val="32"/>
        </w:rPr>
        <w:t>9</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A7422B">
        <w:rPr>
          <w:rFonts w:hint="eastAsia"/>
          <w:sz w:val="24"/>
        </w:rPr>
        <w:t>9</w:t>
      </w:r>
      <w:r>
        <w:rPr>
          <w:rFonts w:hAnsi="宋体" w:hint="eastAsia"/>
          <w:sz w:val="24"/>
        </w:rPr>
        <w:t>月</w:t>
      </w:r>
      <w:r w:rsidR="00A7422B">
        <w:rPr>
          <w:rFonts w:hAnsi="宋体" w:hint="eastAsia"/>
          <w:sz w:val="24"/>
        </w:rPr>
        <w:t>1</w:t>
      </w:r>
      <w:r w:rsidR="00304BA4">
        <w:rPr>
          <w:rFonts w:hAnsi="宋体" w:hint="eastAsia"/>
          <w:sz w:val="24"/>
        </w:rPr>
        <w:t>0</w:t>
      </w:r>
      <w:r>
        <w:rPr>
          <w:rFonts w:hAnsi="宋体" w:hint="eastAsia"/>
          <w:sz w:val="24"/>
        </w:rPr>
        <w:t>日</w:t>
      </w:r>
    </w:p>
    <w:p w:rsidR="009F0590" w:rsidRDefault="00ED2D7E" w:rsidP="009F0590">
      <w:pPr>
        <w:spacing w:line="400" w:lineRule="atLeast"/>
        <w:rPr>
          <w:rFonts w:ascii="宋体" w:hAnsi="宋体"/>
          <w:b/>
          <w:color w:val="FF0000"/>
          <w:sz w:val="24"/>
        </w:rPr>
      </w:pPr>
      <w:r w:rsidRPr="00ED2D7E">
        <w:pict>
          <v:line id="_x0000_s2050" style="position:absolute;left:0;text-align:left;z-index:251660288" from="0,9.05pt" to="425.2pt,9.05pt" strokecolor="red" strokeweight="3pt"/>
        </w:pict>
      </w:r>
    </w:p>
    <w:p w:rsidR="009F0590" w:rsidRDefault="00ED2D7E"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70.45pt;height:102pt;z-index:251662336;mso-width-relative:margin;mso-height-relative:margin">
            <v:textbox style="mso-next-textbox:#_x0000_s2051">
              <w:txbxContent>
                <w:p w:rsidR="00C8737E" w:rsidRPr="001D4EB7" w:rsidRDefault="00C8737E" w:rsidP="00C8737E">
                  <w:pPr>
                    <w:spacing w:line="360" w:lineRule="auto"/>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9825CF" w:rsidRPr="0031202F" w:rsidRDefault="00C8737E" w:rsidP="009825CF">
                  <w:pPr>
                    <w:widowControl/>
                    <w:spacing w:line="360" w:lineRule="auto"/>
                    <w:contextualSpacing/>
                    <w:rPr>
                      <w:rFonts w:ascii="宋体" w:hAnsi="宋体" w:cs="宋体"/>
                      <w:b/>
                      <w:bCs/>
                      <w:kern w:val="0"/>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9825CF" w:rsidRPr="009825CF">
                    <w:rPr>
                      <w:rFonts w:ascii="楷体" w:eastAsia="楷体" w:hAnsi="楷体" w:cs="宋体" w:hint="eastAsia"/>
                      <w:b/>
                      <w:color w:val="000000"/>
                      <w:kern w:val="0"/>
                      <w:sz w:val="24"/>
                      <w:szCs w:val="21"/>
                    </w:rPr>
                    <w:t>通识教育要立足文化自信，紧密结合专业</w:t>
                  </w:r>
                </w:p>
                <w:p w:rsidR="009825CF" w:rsidRPr="0031202F" w:rsidRDefault="005A7B96" w:rsidP="009825CF">
                  <w:pPr>
                    <w:widowControl/>
                    <w:spacing w:line="360" w:lineRule="auto"/>
                    <w:contextualSpacing/>
                    <w:rPr>
                      <w:rFonts w:ascii="宋体" w:hAnsi="宋体"/>
                      <w:b/>
                      <w:sz w:val="24"/>
                    </w:rPr>
                  </w:pPr>
                  <w:r w:rsidRPr="00392671">
                    <w:rPr>
                      <w:rFonts w:hint="eastAsia"/>
                    </w:rPr>
                    <w:t>●</w:t>
                  </w:r>
                  <w:r w:rsidRPr="005A7B96">
                    <w:rPr>
                      <w:rFonts w:ascii="楷体" w:eastAsia="楷体" w:hAnsi="楷体" w:cs="宋体" w:hint="eastAsia"/>
                      <w:b/>
                      <w:color w:val="000000"/>
                      <w:kern w:val="0"/>
                      <w:sz w:val="24"/>
                      <w:szCs w:val="21"/>
                    </w:rPr>
                    <w:t>教育动态</w:t>
                  </w:r>
                  <w:r w:rsidR="009825CF">
                    <w:rPr>
                      <w:rFonts w:ascii="楷体" w:eastAsia="楷体" w:hAnsi="楷体" w:cs="宋体" w:hint="eastAsia"/>
                      <w:b/>
                      <w:color w:val="000000"/>
                      <w:kern w:val="0"/>
                      <w:sz w:val="24"/>
                      <w:szCs w:val="21"/>
                    </w:rPr>
                    <w:t>：</w:t>
                  </w:r>
                  <w:r w:rsidR="009825CF" w:rsidRPr="009825CF">
                    <w:rPr>
                      <w:rFonts w:ascii="楷体" w:eastAsia="楷体" w:hAnsi="楷体" w:cs="宋体" w:hint="eastAsia"/>
                      <w:b/>
                      <w:color w:val="000000"/>
                      <w:kern w:val="0"/>
                      <w:sz w:val="24"/>
                      <w:szCs w:val="21"/>
                    </w:rPr>
                    <w:t>全国人才资源统计结果显示：我国提速迈向人才强国</w:t>
                  </w:r>
                </w:p>
                <w:p w:rsidR="009825CF" w:rsidRPr="009825CF" w:rsidRDefault="005A7B96" w:rsidP="009825CF">
                  <w:pPr>
                    <w:widowControl/>
                    <w:spacing w:line="360" w:lineRule="auto"/>
                    <w:contextualSpacing/>
                    <w:rPr>
                      <w:rFonts w:ascii="楷体" w:eastAsia="楷体" w:hAnsi="楷体" w:cs="宋体"/>
                      <w:b/>
                      <w:color w:val="000000"/>
                      <w:kern w:val="0"/>
                      <w:sz w:val="24"/>
                      <w:szCs w:val="21"/>
                    </w:rPr>
                  </w:pPr>
                  <w:r w:rsidRPr="00392671">
                    <w:rPr>
                      <w:rFonts w:hint="eastAsia"/>
                    </w:rPr>
                    <w:t>●</w:t>
                  </w:r>
                  <w:r>
                    <w:rPr>
                      <w:rFonts w:ascii="楷体" w:eastAsia="楷体" w:hAnsi="楷体" w:cs="宋体" w:hint="eastAsia"/>
                      <w:b/>
                      <w:color w:val="000000"/>
                      <w:kern w:val="0"/>
                      <w:sz w:val="24"/>
                      <w:szCs w:val="21"/>
                    </w:rPr>
                    <w:t>地方高教：</w:t>
                  </w:r>
                  <w:r w:rsidR="009825CF" w:rsidRPr="009825CF">
                    <w:rPr>
                      <w:rFonts w:ascii="楷体" w:eastAsia="楷体" w:hAnsi="楷体" w:cs="宋体" w:hint="eastAsia"/>
                      <w:b/>
                      <w:color w:val="000000"/>
                      <w:kern w:val="0"/>
                      <w:sz w:val="24"/>
                      <w:szCs w:val="21"/>
                    </w:rPr>
                    <w:t>福建：高校新闻专业教师到媒体挂职</w:t>
                  </w:r>
                </w:p>
                <w:p w:rsidR="005A7B96" w:rsidRPr="009825CF"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CD2E06" w:rsidRPr="0031202F" w:rsidRDefault="00CD2E06" w:rsidP="004947AD">
      <w:pPr>
        <w:widowControl/>
        <w:spacing w:line="360" w:lineRule="auto"/>
        <w:contextualSpacing/>
        <w:jc w:val="center"/>
        <w:rPr>
          <w:rFonts w:ascii="宋体" w:hAnsi="宋体" w:cs="宋体"/>
          <w:b/>
          <w:bCs/>
          <w:kern w:val="0"/>
          <w:sz w:val="24"/>
        </w:rPr>
      </w:pPr>
      <w:r w:rsidRPr="0031202F">
        <w:rPr>
          <w:rFonts w:ascii="宋体" w:hAnsi="宋体" w:cs="宋体" w:hint="eastAsia"/>
          <w:b/>
          <w:bCs/>
          <w:kern w:val="0"/>
          <w:sz w:val="24"/>
        </w:rPr>
        <w:t>通识教育要立足文化自信，紧密结合专业</w:t>
      </w:r>
    </w:p>
    <w:p w:rsidR="009F1A2C" w:rsidRPr="0031202F" w:rsidRDefault="008211FE" w:rsidP="004947AD">
      <w:pPr>
        <w:widowControl/>
        <w:spacing w:before="100" w:beforeAutospacing="1" w:after="435" w:line="360" w:lineRule="auto"/>
        <w:contextualSpacing/>
        <w:jc w:val="left"/>
        <w:rPr>
          <w:rFonts w:ascii="楷体" w:eastAsia="楷体" w:hAnsi="楷体" w:cs="Arial"/>
          <w:kern w:val="0"/>
          <w:sz w:val="24"/>
        </w:rPr>
      </w:pPr>
      <w:r w:rsidRPr="0031202F">
        <w:rPr>
          <w:rFonts w:ascii="楷体" w:eastAsia="楷体" w:hAnsi="楷体" w:cs="Arial" w:hint="eastAsia"/>
          <w:kern w:val="0"/>
          <w:sz w:val="24"/>
        </w:rPr>
        <w:t>编者按：</w:t>
      </w:r>
      <w:r w:rsidR="009F1A2C" w:rsidRPr="0031202F">
        <w:rPr>
          <w:rFonts w:ascii="楷体" w:eastAsia="楷体" w:hAnsi="楷体" w:cs="Arial"/>
          <w:kern w:val="0"/>
          <w:sz w:val="24"/>
        </w:rPr>
        <w:t>进入新世纪以来，通识教育在大学受到越来越高的重视，《国家教育事业发展</w:t>
      </w:r>
      <w:r w:rsidRPr="0031202F">
        <w:rPr>
          <w:rFonts w:ascii="楷体" w:eastAsia="楷体" w:hAnsi="楷体" w:cs="Arial" w:hint="eastAsia"/>
          <w:kern w:val="0"/>
          <w:sz w:val="24"/>
        </w:rPr>
        <w:t>“</w:t>
      </w:r>
      <w:r w:rsidR="009F1A2C" w:rsidRPr="0031202F">
        <w:rPr>
          <w:rFonts w:ascii="楷体" w:eastAsia="楷体" w:hAnsi="楷体" w:cs="Arial"/>
          <w:kern w:val="0"/>
          <w:sz w:val="24"/>
        </w:rPr>
        <w:t>十三五</w:t>
      </w:r>
      <w:r w:rsidRPr="0031202F">
        <w:rPr>
          <w:rFonts w:ascii="楷体" w:eastAsia="楷体" w:hAnsi="楷体" w:cs="Arial" w:hint="eastAsia"/>
          <w:kern w:val="0"/>
          <w:sz w:val="24"/>
        </w:rPr>
        <w:t>”</w:t>
      </w:r>
      <w:r w:rsidR="009F1A2C" w:rsidRPr="0031202F">
        <w:rPr>
          <w:rFonts w:ascii="楷体" w:eastAsia="楷体" w:hAnsi="楷体" w:cs="Arial"/>
          <w:kern w:val="0"/>
          <w:sz w:val="24"/>
        </w:rPr>
        <w:t>规划》也提出</w:t>
      </w:r>
      <w:r w:rsidRPr="0031202F">
        <w:rPr>
          <w:rFonts w:ascii="楷体" w:eastAsia="楷体" w:hAnsi="楷体" w:cs="Arial" w:hint="eastAsia"/>
          <w:kern w:val="0"/>
          <w:sz w:val="24"/>
        </w:rPr>
        <w:t>“</w:t>
      </w:r>
      <w:r w:rsidR="009F1A2C" w:rsidRPr="0031202F">
        <w:rPr>
          <w:rFonts w:ascii="楷体" w:eastAsia="楷体" w:hAnsi="楷体" w:cs="Arial"/>
          <w:kern w:val="0"/>
          <w:sz w:val="24"/>
        </w:rPr>
        <w:t>探索通识教育和专业教育相结合的人才培养方式，推行模块化通识教育</w:t>
      </w:r>
      <w:r w:rsidRPr="0031202F">
        <w:rPr>
          <w:rFonts w:ascii="楷体" w:eastAsia="楷体" w:hAnsi="楷体" w:cs="Arial" w:hint="eastAsia"/>
          <w:kern w:val="0"/>
          <w:sz w:val="24"/>
        </w:rPr>
        <w:t>”</w:t>
      </w:r>
      <w:r w:rsidR="009F1A2C" w:rsidRPr="0031202F">
        <w:rPr>
          <w:rFonts w:ascii="楷体" w:eastAsia="楷体" w:hAnsi="楷体" w:cs="Arial"/>
          <w:kern w:val="0"/>
          <w:sz w:val="24"/>
        </w:rPr>
        <w:t>。中国的通识教育之路怎么走</w:t>
      </w:r>
      <w:r w:rsidRPr="0031202F">
        <w:rPr>
          <w:rFonts w:ascii="楷体" w:eastAsia="楷体" w:hAnsi="楷体" w:cs="Arial" w:hint="eastAsia"/>
          <w:kern w:val="0"/>
          <w:sz w:val="24"/>
        </w:rPr>
        <w:t>？</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近日，在北京大学举行的第三届</w:t>
      </w:r>
      <w:r w:rsidR="008211FE" w:rsidRPr="0031202F">
        <w:rPr>
          <w:rFonts w:ascii="Simsun" w:hAnsi="Simsun" w:cs="Arial" w:hint="eastAsia"/>
          <w:kern w:val="0"/>
          <w:sz w:val="24"/>
        </w:rPr>
        <w:t>（</w:t>
      </w:r>
      <w:r w:rsidRPr="0031202F">
        <w:rPr>
          <w:rFonts w:ascii="Simsun" w:hAnsi="Simsun" w:cs="Arial"/>
          <w:kern w:val="0"/>
          <w:sz w:val="24"/>
        </w:rPr>
        <w:t>2017</w:t>
      </w:r>
      <w:r w:rsidRPr="0031202F">
        <w:rPr>
          <w:rFonts w:ascii="Simsun" w:hAnsi="Simsun" w:cs="Arial"/>
          <w:kern w:val="0"/>
          <w:sz w:val="24"/>
        </w:rPr>
        <w:t>年</w:t>
      </w:r>
      <w:r w:rsidR="008211FE" w:rsidRPr="0031202F">
        <w:rPr>
          <w:rFonts w:ascii="Simsun" w:hAnsi="Simsun" w:cs="Arial" w:hint="eastAsia"/>
          <w:kern w:val="0"/>
          <w:sz w:val="24"/>
        </w:rPr>
        <w:t>）</w:t>
      </w:r>
      <w:r w:rsidRPr="0031202F">
        <w:rPr>
          <w:rFonts w:ascii="Simsun" w:hAnsi="Simsun" w:cs="Arial"/>
          <w:kern w:val="0"/>
          <w:sz w:val="24"/>
        </w:rPr>
        <w:t>大学通识教育联盟年会上，北京大学校长林建华、清华大学校长邱勇、复旦大学校长许宁生、中山大学校长罗俊、武汉大学副校长周叶中、重庆大学副校长廖瑞金等对此展开了讨论和分析。</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w:t>
      </w:r>
      <w:r w:rsidRPr="0031202F">
        <w:rPr>
          <w:rFonts w:ascii="Simsun" w:hAnsi="Simsun" w:cs="Arial"/>
          <w:b/>
          <w:bCs/>
          <w:kern w:val="0"/>
          <w:sz w:val="24"/>
        </w:rPr>
        <w:t xml:space="preserve">　通识教育着眼培养未来人才</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林建华：中国大学教育传统上以专业教育为主，专业教育非常强，但要想为未来做好准备的话，除了专业之外，作为一个社会的人，未来需要迎接社会各种各样的挑战，要在社会很好地生存和发展，需要通识教育。因此，我们应该坚持通识教育和专业教育相结合的道路，这也是培养优秀人才非常重要的道路。</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罗俊：一流的大学要培养一流的人才。从真正意义上讲，天才不是大学培养出来的，一个大学有天才是大学的福气，他的成长在于大学要给他一个环境。所以，我们要重视做通识教育，通过改革，让那些比较少的天才学生能够学习得更好一些。</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lastRenderedPageBreak/>
        <w:t xml:space="preserve">　　周叶中：通识教育是</w:t>
      </w:r>
      <w:r w:rsidR="00B939EC" w:rsidRPr="0031202F">
        <w:rPr>
          <w:rFonts w:ascii="Simsun" w:hAnsi="Simsun" w:cs="Arial" w:hint="eastAsia"/>
          <w:kern w:val="0"/>
          <w:sz w:val="24"/>
        </w:rPr>
        <w:t>“</w:t>
      </w:r>
      <w:r w:rsidRPr="0031202F">
        <w:rPr>
          <w:rFonts w:ascii="Simsun" w:hAnsi="Simsun" w:cs="Arial"/>
          <w:kern w:val="0"/>
          <w:sz w:val="24"/>
        </w:rPr>
        <w:t>以成人教育统领成才教育</w:t>
      </w:r>
      <w:r w:rsidR="00B939EC" w:rsidRPr="0031202F">
        <w:rPr>
          <w:rFonts w:ascii="Simsun" w:hAnsi="Simsun" w:cs="Arial" w:hint="eastAsia"/>
          <w:kern w:val="0"/>
          <w:sz w:val="24"/>
        </w:rPr>
        <w:t>”</w:t>
      </w:r>
      <w:r w:rsidRPr="0031202F">
        <w:rPr>
          <w:rFonts w:ascii="Simsun" w:hAnsi="Simsun" w:cs="Arial"/>
          <w:kern w:val="0"/>
          <w:sz w:val="24"/>
        </w:rPr>
        <w:t>的必然选择。具体来说，通识教育主要解决四大问题：一是正确价值观的塑造</w:t>
      </w:r>
      <w:r w:rsidR="00B939EC" w:rsidRPr="0031202F">
        <w:rPr>
          <w:rFonts w:ascii="Simsun" w:hAnsi="Simsun" w:cs="Arial" w:hint="eastAsia"/>
          <w:kern w:val="0"/>
          <w:sz w:val="24"/>
        </w:rPr>
        <w:t>；</w:t>
      </w:r>
      <w:r w:rsidRPr="0031202F">
        <w:rPr>
          <w:rFonts w:ascii="Simsun" w:hAnsi="Simsun" w:cs="Arial"/>
          <w:kern w:val="0"/>
          <w:sz w:val="24"/>
        </w:rPr>
        <w:t>二是健全人格的养成</w:t>
      </w:r>
      <w:r w:rsidR="00B939EC" w:rsidRPr="0031202F">
        <w:rPr>
          <w:rFonts w:ascii="Simsun" w:hAnsi="Simsun" w:cs="Arial" w:hint="eastAsia"/>
          <w:kern w:val="0"/>
          <w:sz w:val="24"/>
        </w:rPr>
        <w:t>；</w:t>
      </w:r>
      <w:r w:rsidRPr="0031202F">
        <w:rPr>
          <w:rFonts w:ascii="Simsun" w:hAnsi="Simsun" w:cs="Arial"/>
          <w:kern w:val="0"/>
          <w:sz w:val="24"/>
        </w:rPr>
        <w:t>三是思维方式的拓展</w:t>
      </w:r>
      <w:r w:rsidR="00B939EC" w:rsidRPr="0031202F">
        <w:rPr>
          <w:rFonts w:ascii="Simsun" w:hAnsi="Simsun" w:cs="Arial" w:hint="eastAsia"/>
          <w:kern w:val="0"/>
          <w:sz w:val="24"/>
        </w:rPr>
        <w:t>；</w:t>
      </w:r>
      <w:r w:rsidRPr="0031202F">
        <w:rPr>
          <w:rFonts w:ascii="Simsun" w:hAnsi="Simsun" w:cs="Arial"/>
          <w:kern w:val="0"/>
          <w:sz w:val="24"/>
        </w:rPr>
        <w:t>四是学习能力的提升。</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w:t>
      </w:r>
      <w:r w:rsidRPr="0031202F">
        <w:rPr>
          <w:rFonts w:ascii="Simsun" w:hAnsi="Simsun" w:cs="Arial"/>
          <w:b/>
          <w:bCs/>
          <w:kern w:val="0"/>
          <w:sz w:val="24"/>
        </w:rPr>
        <w:t xml:space="preserve">　通识教育要与专业教育结合而非对立</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w:t>
      </w:r>
      <w:r w:rsidRPr="0031202F">
        <w:rPr>
          <w:rFonts w:ascii="Simsun" w:hAnsi="Simsun" w:cs="Arial"/>
          <w:b/>
          <w:bCs/>
          <w:kern w:val="0"/>
          <w:sz w:val="24"/>
        </w:rPr>
        <w:t xml:space="preserve">　北京大学</w:t>
      </w:r>
      <w:r w:rsidR="0031202F">
        <w:rPr>
          <w:rFonts w:ascii="Simsun" w:hAnsi="Simsun" w:cs="Arial" w:hint="eastAsia"/>
          <w:b/>
          <w:bCs/>
          <w:kern w:val="0"/>
          <w:sz w:val="24"/>
        </w:rPr>
        <w:t>——</w:t>
      </w:r>
      <w:r w:rsidRPr="0031202F">
        <w:rPr>
          <w:rFonts w:ascii="Simsun" w:hAnsi="Simsun" w:cs="Arial"/>
          <w:b/>
          <w:bCs/>
          <w:kern w:val="0"/>
          <w:sz w:val="24"/>
        </w:rPr>
        <w:t>建立通识教育核心课</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林建华：北大这几年做的教育教学改革，首先就是坚持通识教育与专业教育相结合的理念，既要对专业教育进行改革，同时也要做通识教育。</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就通识教育而言，过去我们一直做的是通识课，也就是素质教育课，从知识角度给学生做的素质教育。但真正的通识课，应该放在对于学生拓展视野，树立文化自信，思考宇宙、人生的根本性问题，具有反思、批判和创新能力，以及表达、沟通和实践的能力的培养。为此，北大建立了通识教育核心课，希望通过改变内容，改善方法加强学生的通识教育。</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w:t>
      </w:r>
      <w:r w:rsidRPr="0031202F">
        <w:rPr>
          <w:rFonts w:ascii="Simsun" w:hAnsi="Simsun" w:cs="Arial"/>
          <w:b/>
          <w:bCs/>
          <w:kern w:val="0"/>
          <w:sz w:val="24"/>
        </w:rPr>
        <w:t>清华大学</w:t>
      </w:r>
      <w:r w:rsidR="0031202F">
        <w:rPr>
          <w:rFonts w:ascii="Simsun" w:hAnsi="Simsun" w:cs="Arial" w:hint="eastAsia"/>
          <w:b/>
          <w:bCs/>
          <w:kern w:val="0"/>
          <w:sz w:val="24"/>
        </w:rPr>
        <w:t>——</w:t>
      </w:r>
      <w:r w:rsidRPr="0031202F">
        <w:rPr>
          <w:rFonts w:ascii="Simsun" w:hAnsi="Simsun" w:cs="Arial"/>
          <w:b/>
          <w:bCs/>
          <w:kern w:val="0"/>
          <w:sz w:val="24"/>
        </w:rPr>
        <w:t>通识教育与专业教育融合</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邱勇：</w:t>
      </w:r>
      <w:r w:rsidR="00362558" w:rsidRPr="0031202F">
        <w:rPr>
          <w:rFonts w:ascii="Simsun" w:hAnsi="Simsun" w:cs="Arial"/>
          <w:kern w:val="0"/>
          <w:sz w:val="24"/>
        </w:rPr>
        <w:t xml:space="preserve"> </w:t>
      </w:r>
      <w:r w:rsidRPr="0031202F">
        <w:rPr>
          <w:rFonts w:ascii="Simsun" w:hAnsi="Simsun" w:cs="Arial"/>
          <w:kern w:val="0"/>
          <w:sz w:val="24"/>
        </w:rPr>
        <w:t>2017</w:t>
      </w:r>
      <w:r w:rsidRPr="0031202F">
        <w:rPr>
          <w:rFonts w:ascii="Simsun" w:hAnsi="Simsun" w:cs="Arial"/>
          <w:kern w:val="0"/>
          <w:sz w:val="24"/>
        </w:rPr>
        <w:t>年，清华进行大类招生，大类招生后是大类培养，大类培养有三个内容，新生导引课、专业引导课，还有通识教育，把通识教育作为学校顶层设计课程的主导性安排。当然，我们还进行了另外的实践探索，在</w:t>
      </w:r>
      <w:r w:rsidRPr="0031202F">
        <w:rPr>
          <w:rFonts w:ascii="Simsun" w:hAnsi="Simsun" w:cs="Arial"/>
          <w:kern w:val="0"/>
          <w:sz w:val="24"/>
        </w:rPr>
        <w:t>2014</w:t>
      </w:r>
      <w:r w:rsidRPr="0031202F">
        <w:rPr>
          <w:rFonts w:ascii="Simsun" w:hAnsi="Simsun" w:cs="Arial"/>
          <w:kern w:val="0"/>
          <w:sz w:val="24"/>
        </w:rPr>
        <w:t>年正式成立新雅书院，小班教学、通识教育和养成教育结合。这些探索和实践，为我们下一步继续推进通识教育奠定了基础。</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b/>
          <w:bCs/>
          <w:kern w:val="0"/>
          <w:sz w:val="24"/>
        </w:rPr>
        <w:t xml:space="preserve">　　复旦大学</w:t>
      </w:r>
      <w:r w:rsidR="0031202F">
        <w:rPr>
          <w:rFonts w:ascii="Simsun" w:hAnsi="Simsun" w:cs="Arial" w:hint="eastAsia"/>
          <w:b/>
          <w:bCs/>
          <w:kern w:val="0"/>
          <w:sz w:val="24"/>
        </w:rPr>
        <w:t>——</w:t>
      </w:r>
      <w:r w:rsidRPr="0031202F">
        <w:rPr>
          <w:rFonts w:ascii="Simsun" w:hAnsi="Simsun" w:cs="Arial"/>
          <w:b/>
          <w:bCs/>
          <w:kern w:val="0"/>
          <w:sz w:val="24"/>
        </w:rPr>
        <w:t>通识教育重在内涵建设</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许宁生：复旦把推进通识教育与人才培养目标紧密关联，最近几年加大力度，对通识教育加强内涵建设，从板块角度做了一些梳理，对课程内容做了提升，并将之称为通识教育</w:t>
      </w:r>
      <w:r w:rsidRPr="0031202F">
        <w:rPr>
          <w:rFonts w:ascii="Simsun" w:hAnsi="Simsun" w:cs="Arial"/>
          <w:kern w:val="0"/>
          <w:sz w:val="24"/>
        </w:rPr>
        <w:t>2.0</w:t>
      </w:r>
      <w:r w:rsidRPr="0031202F">
        <w:rPr>
          <w:rFonts w:ascii="Simsun" w:hAnsi="Simsun" w:cs="Arial"/>
          <w:kern w:val="0"/>
          <w:sz w:val="24"/>
        </w:rPr>
        <w:t>版。我们最近又在进一步强化，针对</w:t>
      </w:r>
      <w:r w:rsidR="00927421" w:rsidRPr="0031202F">
        <w:rPr>
          <w:rFonts w:ascii="Simsun" w:hAnsi="Simsun" w:cs="Arial" w:hint="eastAsia"/>
          <w:kern w:val="0"/>
          <w:sz w:val="24"/>
        </w:rPr>
        <w:t>“</w:t>
      </w:r>
      <w:r w:rsidRPr="0031202F">
        <w:rPr>
          <w:rFonts w:ascii="Simsun" w:hAnsi="Simsun" w:cs="Arial"/>
          <w:kern w:val="0"/>
          <w:sz w:val="24"/>
        </w:rPr>
        <w:t>双一流</w:t>
      </w:r>
      <w:r w:rsidR="00927421" w:rsidRPr="0031202F">
        <w:rPr>
          <w:rFonts w:ascii="Simsun" w:hAnsi="Simsun" w:cs="Arial" w:hint="eastAsia"/>
          <w:kern w:val="0"/>
          <w:sz w:val="24"/>
        </w:rPr>
        <w:t>”</w:t>
      </w:r>
      <w:r w:rsidRPr="0031202F">
        <w:rPr>
          <w:rFonts w:ascii="Simsun" w:hAnsi="Simsun" w:cs="Arial"/>
          <w:kern w:val="0"/>
          <w:sz w:val="24"/>
        </w:rPr>
        <w:t>建设要求，制订了本科教育行动计划，明确了通识教育在整个体系的定位，下一步还会在课程、教师参与、书院建设、网络慕课课程的建设等方面加强对接。我们还有很多事要做。总的来讲，从教师到学生，都非常愿意参与到其中去。</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b/>
          <w:bCs/>
          <w:kern w:val="0"/>
          <w:sz w:val="24"/>
        </w:rPr>
        <w:t xml:space="preserve">　　重庆大学</w:t>
      </w:r>
      <w:r w:rsidR="0031202F">
        <w:rPr>
          <w:rFonts w:ascii="Simsun" w:hAnsi="Simsun" w:cs="Arial" w:hint="eastAsia"/>
          <w:b/>
          <w:bCs/>
          <w:kern w:val="0"/>
          <w:sz w:val="24"/>
        </w:rPr>
        <w:t>——</w:t>
      </w:r>
      <w:r w:rsidRPr="0031202F">
        <w:rPr>
          <w:rFonts w:ascii="Simsun" w:hAnsi="Simsun" w:cs="Arial"/>
          <w:b/>
          <w:bCs/>
          <w:kern w:val="0"/>
          <w:sz w:val="24"/>
        </w:rPr>
        <w:t>加强创新，加强实践</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廖瑞金：重庆大学是理工尤其工科特色比较突出的大学</w:t>
      </w:r>
      <w:r w:rsidR="00927421" w:rsidRPr="0031202F">
        <w:rPr>
          <w:rFonts w:ascii="Simsun" w:hAnsi="Simsun" w:cs="Arial" w:hint="eastAsia"/>
          <w:kern w:val="0"/>
          <w:sz w:val="24"/>
        </w:rPr>
        <w:t>，</w:t>
      </w:r>
      <w:r w:rsidRPr="0031202F">
        <w:rPr>
          <w:rFonts w:ascii="Simsun" w:hAnsi="Simsun" w:cs="Arial"/>
          <w:kern w:val="0"/>
          <w:sz w:val="24"/>
        </w:rPr>
        <w:t>我们在通识教育的顶层设计上下了一番功夫。在培养目标上，我们也结合了自身的理工特色，提出了要按照人文素养、思辨能力、科学精神和创新实践能力目标来推进，要求培养</w:t>
      </w:r>
      <w:r w:rsidRPr="0031202F">
        <w:rPr>
          <w:rFonts w:ascii="Simsun" w:hAnsi="Simsun" w:cs="Arial"/>
          <w:kern w:val="0"/>
          <w:sz w:val="24"/>
        </w:rPr>
        <w:lastRenderedPageBreak/>
        <w:t>学生的社会责任感、科学精神与人文精神的结合。我们课程的模块是四大模块：人文学科、社会科学、科学技术、创新实践。四</w:t>
      </w:r>
      <w:r w:rsidR="00927421" w:rsidRPr="0031202F">
        <w:rPr>
          <w:rFonts w:ascii="Simsun" w:hAnsi="Simsun" w:cs="Arial"/>
          <w:kern w:val="0"/>
          <w:sz w:val="24"/>
        </w:rPr>
        <w:t>大模块中，我们也根据理工特色力促向通专融合方向发展并加强实践</w:t>
      </w:r>
      <w:r w:rsidRPr="0031202F">
        <w:rPr>
          <w:rFonts w:ascii="Simsun" w:hAnsi="Simsun" w:cs="Arial"/>
          <w:kern w:val="0"/>
          <w:sz w:val="24"/>
        </w:rPr>
        <w:t>，我们要求要有把想法转化成实践的能力，这需要思辨、教学和实践结合起来，让学生加强创新，加强实践的能力训练。</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w:t>
      </w:r>
      <w:r w:rsidRPr="0031202F">
        <w:rPr>
          <w:rFonts w:ascii="Simsun" w:hAnsi="Simsun" w:cs="Arial"/>
          <w:b/>
          <w:bCs/>
          <w:kern w:val="0"/>
          <w:sz w:val="24"/>
        </w:rPr>
        <w:t>通识教育需要立足</w:t>
      </w:r>
      <w:r w:rsidRPr="0031202F">
        <w:rPr>
          <w:rFonts w:ascii="Simsun" w:hAnsi="Simsun" w:cs="Arial"/>
          <w:b/>
          <w:bCs/>
          <w:kern w:val="0"/>
          <w:sz w:val="24"/>
        </w:rPr>
        <w:t>“</w:t>
      </w:r>
      <w:r w:rsidRPr="0031202F">
        <w:rPr>
          <w:rFonts w:ascii="Simsun" w:hAnsi="Simsun" w:cs="Arial"/>
          <w:b/>
          <w:bCs/>
          <w:kern w:val="0"/>
          <w:sz w:val="24"/>
        </w:rPr>
        <w:t>文化自信</w:t>
      </w:r>
      <w:r w:rsidRPr="0031202F">
        <w:rPr>
          <w:rFonts w:ascii="Simsun" w:hAnsi="Simsun" w:cs="Arial"/>
          <w:b/>
          <w:bCs/>
          <w:kern w:val="0"/>
          <w:sz w:val="24"/>
        </w:rPr>
        <w:t>”</w:t>
      </w:r>
    </w:p>
    <w:p w:rsidR="009F1A2C"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许宁生：大学核心工作是育人。我们提出要德育优先，从德育优先的角度来讲，通识教育所占的分量就会显示出来。我们最近也在思考，针对新时期的要求，针对在中华崛起时成长起来的把握未来的人进行教育的要求，我们怎么考虑充实中华民族的文化自信的内容。通识教育在国外也是从原来的</w:t>
      </w:r>
      <w:r w:rsidRPr="0031202F">
        <w:rPr>
          <w:rFonts w:ascii="Simsun" w:hAnsi="Simsun" w:cs="Arial"/>
          <w:kern w:val="0"/>
          <w:sz w:val="24"/>
        </w:rPr>
        <w:t>Liberal art education(</w:t>
      </w:r>
      <w:r w:rsidRPr="0031202F">
        <w:rPr>
          <w:rFonts w:ascii="Simsun" w:hAnsi="Simsun" w:cs="Arial"/>
          <w:kern w:val="0"/>
          <w:sz w:val="24"/>
        </w:rPr>
        <w:t>博雅教育</w:t>
      </w:r>
      <w:r w:rsidRPr="0031202F">
        <w:rPr>
          <w:rFonts w:ascii="Simsun" w:hAnsi="Simsun" w:cs="Arial"/>
          <w:kern w:val="0"/>
          <w:sz w:val="24"/>
        </w:rPr>
        <w:t>)</w:t>
      </w:r>
      <w:r w:rsidRPr="0031202F">
        <w:rPr>
          <w:rFonts w:ascii="Simsun" w:hAnsi="Simsun" w:cs="Arial"/>
          <w:kern w:val="0"/>
          <w:sz w:val="24"/>
        </w:rPr>
        <w:t>发展到</w:t>
      </w:r>
      <w:r w:rsidRPr="0031202F">
        <w:rPr>
          <w:rFonts w:ascii="Simsun" w:hAnsi="Simsun" w:cs="Arial"/>
          <w:kern w:val="0"/>
          <w:sz w:val="24"/>
        </w:rPr>
        <w:t>General education(</w:t>
      </w:r>
      <w:r w:rsidRPr="0031202F">
        <w:rPr>
          <w:rFonts w:ascii="Simsun" w:hAnsi="Simsun" w:cs="Arial"/>
          <w:kern w:val="0"/>
          <w:sz w:val="24"/>
        </w:rPr>
        <w:t>通识教育</w:t>
      </w:r>
      <w:r w:rsidRPr="0031202F">
        <w:rPr>
          <w:rFonts w:ascii="Simsun" w:hAnsi="Simsun" w:cs="Arial"/>
          <w:kern w:val="0"/>
          <w:sz w:val="24"/>
        </w:rPr>
        <w:t>)</w:t>
      </w:r>
      <w:r w:rsidRPr="0031202F">
        <w:rPr>
          <w:rFonts w:ascii="Simsun" w:hAnsi="Simsun" w:cs="Arial"/>
          <w:kern w:val="0"/>
          <w:sz w:val="24"/>
        </w:rPr>
        <w:t>，现在的中国，通识教育则需要与中国传统文化结合，要有本土教育的理念。下一步除了继续通识教育本土化以外，我们还应该考虑建设中国自己的新的体系。</w:t>
      </w:r>
    </w:p>
    <w:p w:rsidR="00892E72" w:rsidRPr="0031202F" w:rsidRDefault="009F1A2C" w:rsidP="004947AD">
      <w:pPr>
        <w:widowControl/>
        <w:spacing w:before="100" w:beforeAutospacing="1" w:after="435" w:line="360" w:lineRule="auto"/>
        <w:contextualSpacing/>
        <w:jc w:val="left"/>
        <w:rPr>
          <w:rFonts w:ascii="Simsun" w:hAnsi="Simsun" w:cs="Arial" w:hint="eastAsia"/>
          <w:kern w:val="0"/>
          <w:sz w:val="24"/>
        </w:rPr>
      </w:pPr>
      <w:r w:rsidRPr="0031202F">
        <w:rPr>
          <w:rFonts w:ascii="Simsun" w:hAnsi="Simsun" w:cs="Arial"/>
          <w:kern w:val="0"/>
          <w:sz w:val="24"/>
        </w:rPr>
        <w:t xml:space="preserve">　　林建华：提升我们的教育是整个国家和民族要面对未来的挑战，不仅在科学技术领域的创新，也包括在文化思想领域的更新，提升中国文化在世界的影响力。所谓</w:t>
      </w:r>
      <w:r w:rsidRPr="0031202F">
        <w:rPr>
          <w:rFonts w:ascii="Simsun" w:hAnsi="Simsun" w:cs="Arial"/>
          <w:kern w:val="0"/>
          <w:sz w:val="24"/>
        </w:rPr>
        <w:t>“</w:t>
      </w:r>
      <w:r w:rsidRPr="0031202F">
        <w:rPr>
          <w:rFonts w:ascii="Simsun" w:hAnsi="Simsun" w:cs="Arial"/>
          <w:kern w:val="0"/>
          <w:sz w:val="24"/>
        </w:rPr>
        <w:t>文化自信</w:t>
      </w:r>
      <w:r w:rsidRPr="0031202F">
        <w:rPr>
          <w:rFonts w:ascii="Simsun" w:hAnsi="Simsun" w:cs="Arial"/>
          <w:kern w:val="0"/>
          <w:sz w:val="24"/>
        </w:rPr>
        <w:t>”</w:t>
      </w:r>
      <w:r w:rsidRPr="0031202F">
        <w:rPr>
          <w:rFonts w:ascii="Simsun" w:hAnsi="Simsun" w:cs="Arial"/>
          <w:kern w:val="0"/>
          <w:sz w:val="24"/>
        </w:rPr>
        <w:t>实际是要靠我们民族自己的形象，要靠我们自己的文化创造，让中国文化在世界上发挥越来越大的影响力。但是，我们同时要注意，通识教育要避免功利性，不能简单地把通识教育看成为了什么，我们应该把通识教育放在人本身的成长上，放在中华文明推动人类文明发展提升的角度上，这样才能真正像总书记讲的那样，我们可以树立起民族的自信、文化的自信。</w:t>
      </w:r>
    </w:p>
    <w:p w:rsidR="00892E72" w:rsidRPr="0031202F" w:rsidRDefault="009F1A2C" w:rsidP="004947AD">
      <w:pPr>
        <w:widowControl/>
        <w:spacing w:before="100" w:beforeAutospacing="1" w:after="435" w:line="360" w:lineRule="auto"/>
        <w:contextualSpacing/>
        <w:jc w:val="left"/>
        <w:rPr>
          <w:rFonts w:asciiTheme="majorEastAsia" w:eastAsiaTheme="majorEastAsia" w:hAnsiTheme="majorEastAsia" w:cs="宋体"/>
          <w:kern w:val="0"/>
          <w:sz w:val="24"/>
          <w:szCs w:val="21"/>
        </w:rPr>
      </w:pPr>
      <w:r w:rsidRPr="0031202F">
        <w:rPr>
          <w:rFonts w:asciiTheme="majorEastAsia" w:eastAsiaTheme="majorEastAsia" w:hAnsiTheme="majorEastAsia" w:cs="宋体" w:hint="eastAsia"/>
          <w:kern w:val="0"/>
          <w:sz w:val="24"/>
          <w:szCs w:val="21"/>
        </w:rPr>
        <w:t>（作者：</w:t>
      </w:r>
      <w:r w:rsidRPr="0031202F">
        <w:rPr>
          <w:rFonts w:asciiTheme="majorEastAsia" w:eastAsiaTheme="majorEastAsia" w:hAnsiTheme="majorEastAsia" w:cs="宋体"/>
          <w:kern w:val="0"/>
          <w:sz w:val="24"/>
          <w:szCs w:val="21"/>
        </w:rPr>
        <w:t>王树瑛</w:t>
      </w:r>
      <w:r w:rsidRPr="0031202F">
        <w:rPr>
          <w:rFonts w:asciiTheme="majorEastAsia" w:eastAsiaTheme="majorEastAsia" w:hAnsiTheme="majorEastAsia" w:cs="宋体" w:hint="eastAsia"/>
          <w:kern w:val="0"/>
          <w:sz w:val="24"/>
          <w:szCs w:val="21"/>
        </w:rPr>
        <w:t xml:space="preserve"> 福建</w:t>
      </w:r>
      <w:r w:rsidRPr="0031202F">
        <w:rPr>
          <w:rFonts w:asciiTheme="majorEastAsia" w:eastAsiaTheme="majorEastAsia" w:hAnsiTheme="majorEastAsia" w:cs="宋体"/>
          <w:kern w:val="0"/>
          <w:sz w:val="24"/>
          <w:szCs w:val="21"/>
        </w:rPr>
        <w:t>师范大学文学院副教授</w:t>
      </w:r>
      <w:r w:rsidRPr="0031202F">
        <w:rPr>
          <w:rFonts w:asciiTheme="majorEastAsia" w:eastAsiaTheme="majorEastAsia" w:hAnsiTheme="majorEastAsia" w:cs="宋体" w:hint="eastAsia"/>
          <w:kern w:val="0"/>
          <w:sz w:val="24"/>
          <w:szCs w:val="21"/>
        </w:rPr>
        <w:t>）</w:t>
      </w:r>
    </w:p>
    <w:p w:rsidR="009F1A2C" w:rsidRPr="0031202F" w:rsidRDefault="009F1A2C" w:rsidP="004947AD">
      <w:pPr>
        <w:widowControl/>
        <w:spacing w:before="100" w:beforeAutospacing="1" w:after="435" w:line="360" w:lineRule="auto"/>
        <w:contextualSpacing/>
        <w:jc w:val="right"/>
        <w:rPr>
          <w:rFonts w:asciiTheme="majorEastAsia" w:eastAsiaTheme="majorEastAsia" w:hAnsiTheme="majorEastAsia" w:cs="宋体"/>
          <w:kern w:val="0"/>
          <w:sz w:val="24"/>
          <w:szCs w:val="21"/>
        </w:rPr>
      </w:pPr>
      <w:r w:rsidRPr="0031202F">
        <w:rPr>
          <w:rFonts w:asciiTheme="majorEastAsia" w:eastAsiaTheme="majorEastAsia" w:hAnsiTheme="majorEastAsia" w:cs="宋体" w:hint="eastAsia"/>
          <w:kern w:val="0"/>
          <w:sz w:val="24"/>
          <w:szCs w:val="21"/>
        </w:rPr>
        <w:t>（摘编自</w:t>
      </w:r>
      <w:r w:rsidRPr="0031202F">
        <w:rPr>
          <w:rFonts w:asciiTheme="majorEastAsia" w:eastAsiaTheme="majorEastAsia" w:hAnsiTheme="majorEastAsia" w:cs="宋体"/>
          <w:kern w:val="0"/>
          <w:sz w:val="24"/>
          <w:szCs w:val="21"/>
        </w:rPr>
        <w:t>《光明日报》2017年</w:t>
      </w:r>
      <w:r w:rsidRPr="0031202F">
        <w:rPr>
          <w:rFonts w:asciiTheme="majorEastAsia" w:eastAsiaTheme="majorEastAsia" w:hAnsiTheme="majorEastAsia" w:cs="宋体" w:hint="eastAsia"/>
          <w:kern w:val="0"/>
          <w:sz w:val="24"/>
          <w:szCs w:val="21"/>
        </w:rPr>
        <w:t>9</w:t>
      </w:r>
      <w:r w:rsidRPr="0031202F">
        <w:rPr>
          <w:rFonts w:asciiTheme="majorEastAsia" w:eastAsiaTheme="majorEastAsia" w:hAnsiTheme="majorEastAsia" w:cs="宋体"/>
          <w:kern w:val="0"/>
          <w:sz w:val="24"/>
          <w:szCs w:val="21"/>
        </w:rPr>
        <w:t>月</w:t>
      </w:r>
      <w:r w:rsidRPr="0031202F">
        <w:rPr>
          <w:rFonts w:asciiTheme="majorEastAsia" w:eastAsiaTheme="majorEastAsia" w:hAnsiTheme="majorEastAsia" w:cs="宋体" w:hint="eastAsia"/>
          <w:kern w:val="0"/>
          <w:sz w:val="24"/>
          <w:szCs w:val="21"/>
        </w:rPr>
        <w:t>3</w:t>
      </w:r>
      <w:r w:rsidRPr="0031202F">
        <w:rPr>
          <w:rFonts w:asciiTheme="majorEastAsia" w:eastAsiaTheme="majorEastAsia" w:hAnsiTheme="majorEastAsia" w:cs="宋体"/>
          <w:kern w:val="0"/>
          <w:sz w:val="24"/>
          <w:szCs w:val="21"/>
        </w:rPr>
        <w:t>日</w:t>
      </w:r>
      <w:r w:rsidRPr="0031202F">
        <w:rPr>
          <w:rFonts w:asciiTheme="majorEastAsia" w:eastAsiaTheme="majorEastAsia" w:hAnsiTheme="majorEastAsia" w:cs="宋体" w:hint="eastAsia"/>
          <w:kern w:val="0"/>
          <w:sz w:val="24"/>
          <w:szCs w:val="21"/>
        </w:rPr>
        <w:t>）</w:t>
      </w:r>
    </w:p>
    <w:p w:rsidR="005A7B96" w:rsidRPr="0031202F" w:rsidRDefault="005A7B96" w:rsidP="004947AD">
      <w:pPr>
        <w:widowControl/>
        <w:spacing w:line="360" w:lineRule="auto"/>
        <w:contextualSpacing/>
        <w:jc w:val="left"/>
        <w:rPr>
          <w:rFonts w:asciiTheme="minorEastAsia" w:eastAsiaTheme="minorEastAsia" w:hAnsiTheme="minorEastAsia"/>
          <w:b/>
          <w:sz w:val="24"/>
        </w:rPr>
      </w:pPr>
      <w:r w:rsidRPr="0031202F">
        <w:rPr>
          <w:rFonts w:asciiTheme="minorEastAsia" w:eastAsiaTheme="minorEastAsia" w:hAnsiTheme="minorEastAsia" w:hint="eastAsia"/>
          <w:b/>
          <w:sz w:val="24"/>
        </w:rPr>
        <w:t>【教育动态】</w:t>
      </w:r>
    </w:p>
    <w:p w:rsidR="003A494B" w:rsidRPr="0031202F" w:rsidRDefault="003A494B" w:rsidP="0031202F">
      <w:pPr>
        <w:widowControl/>
        <w:spacing w:line="360" w:lineRule="auto"/>
        <w:contextualSpacing/>
        <w:jc w:val="center"/>
        <w:rPr>
          <w:rFonts w:ascii="宋体" w:hAnsi="宋体"/>
          <w:b/>
          <w:sz w:val="24"/>
        </w:rPr>
      </w:pPr>
      <w:r w:rsidRPr="0031202F">
        <w:rPr>
          <w:rFonts w:ascii="宋体" w:hAnsi="宋体" w:hint="eastAsia"/>
          <w:b/>
          <w:sz w:val="24"/>
        </w:rPr>
        <w:t>全国人才资源统计结果显示：我国提速迈向人才强国</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31202F">
        <w:rPr>
          <w:rFonts w:asciiTheme="majorEastAsia" w:eastAsiaTheme="majorEastAsia" w:hAnsiTheme="majorEastAsia" w:hint="eastAsia"/>
          <w:szCs w:val="21"/>
        </w:rPr>
        <w:t>中央组织部会同人力资源社会保障部、国家统计局组织开展了2015年度全国人才资源统计工作，这是继2010年后开展的第二次全口径统计。统计数据显示：</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31202F">
        <w:rPr>
          <w:rFonts w:asciiTheme="majorEastAsia" w:eastAsiaTheme="majorEastAsia" w:hAnsiTheme="majorEastAsia" w:hint="eastAsia"/>
          <w:szCs w:val="21"/>
        </w:rPr>
        <w:t>人才资源总量稳步增长。全国人才资源总量达1.75亿人，人才资源总量占人力资源总量的比例达15.5%，基本实现2020年1.8亿人、16%的规划目标。党政人才、企业经营管理人才、专业技术人才、高技能人才、农村实用人才、社会</w:t>
      </w:r>
      <w:r w:rsidRPr="0031202F">
        <w:rPr>
          <w:rFonts w:asciiTheme="majorEastAsia" w:eastAsiaTheme="majorEastAsia" w:hAnsiTheme="majorEastAsia" w:hint="eastAsia"/>
          <w:szCs w:val="21"/>
        </w:rPr>
        <w:lastRenderedPageBreak/>
        <w:t>工作专业人才资源总量较2010年分别增长4.0%、45.5%、32.0%、57.2%、61.4%、272.1%。</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31202F">
        <w:rPr>
          <w:rFonts w:asciiTheme="majorEastAsia" w:eastAsiaTheme="majorEastAsia" w:hAnsiTheme="majorEastAsia" w:hint="eastAsia"/>
          <w:szCs w:val="21"/>
        </w:rPr>
        <w:t>人才队伍素质明显增强。每万劳动力中研发人员达48.5人年，比2010年增长14.9人年；主要劳动年龄人口受过高等教育的比例达16.9%，高技能人才占技能劳动者的比例达27.3%，农村实用人才占农村劳动力的比例达3.3%，分别比2010年上升4.4、1.7、1.1个百分点；党政人才、企业经营管理人才和专业技术人才中大学本科及以上学历所占比例达42.4%，比2010年上升8.2个百分点。</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31202F">
        <w:rPr>
          <w:rFonts w:asciiTheme="majorEastAsia" w:eastAsiaTheme="majorEastAsia" w:hAnsiTheme="majorEastAsia" w:hint="eastAsia"/>
          <w:szCs w:val="21"/>
        </w:rPr>
        <w:t>人才投入和效能显著提高。人力资本投资占国内生产总值比例达到15.8%，比2010年上升3.8个百分点；人才贡献率达到33.5%，比2010年上升6.9个百分点，人才对我国经济增长的促进作用日益凸显。</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31202F">
        <w:rPr>
          <w:rFonts w:asciiTheme="majorEastAsia" w:eastAsiaTheme="majorEastAsia" w:hAnsiTheme="majorEastAsia" w:hint="eastAsia"/>
          <w:szCs w:val="21"/>
        </w:rPr>
        <w:t>全球人才磁场效应不断增强。截至2016年底，国家“千人计划”共引进海外人才6089人，留学回国人才总数达265.1万人，其中70%均为党的十八大以来回国的，形成了新中国成立以来最大规模留学人才“归国潮”。</w:t>
      </w:r>
    </w:p>
    <w:p w:rsidR="003A494B" w:rsidRPr="0031202F" w:rsidRDefault="003A494B" w:rsidP="004947AD">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szCs w:val="21"/>
        </w:rPr>
      </w:pPr>
      <w:r w:rsidRPr="0031202F">
        <w:rPr>
          <w:rFonts w:asciiTheme="majorEastAsia" w:eastAsiaTheme="majorEastAsia" w:hAnsiTheme="majorEastAsia" w:hint="eastAsia"/>
          <w:szCs w:val="21"/>
        </w:rPr>
        <w:t>（摘编自 科学网2</w:t>
      </w:r>
      <w:r w:rsidRPr="0031202F">
        <w:rPr>
          <w:rFonts w:asciiTheme="majorEastAsia" w:eastAsiaTheme="majorEastAsia" w:hAnsiTheme="majorEastAsia"/>
          <w:szCs w:val="21"/>
        </w:rPr>
        <w:t>01</w:t>
      </w:r>
      <w:r w:rsidRPr="0031202F">
        <w:rPr>
          <w:rFonts w:asciiTheme="majorEastAsia" w:eastAsiaTheme="majorEastAsia" w:hAnsiTheme="majorEastAsia" w:hint="eastAsia"/>
          <w:szCs w:val="21"/>
        </w:rPr>
        <w:t>7</w:t>
      </w:r>
      <w:r w:rsidRPr="0031202F">
        <w:rPr>
          <w:rFonts w:asciiTheme="majorEastAsia" w:eastAsiaTheme="majorEastAsia" w:hAnsiTheme="majorEastAsia"/>
          <w:szCs w:val="21"/>
        </w:rPr>
        <w:t>年</w:t>
      </w:r>
      <w:r w:rsidRPr="0031202F">
        <w:rPr>
          <w:rFonts w:asciiTheme="majorEastAsia" w:eastAsiaTheme="majorEastAsia" w:hAnsiTheme="majorEastAsia" w:hint="eastAsia"/>
          <w:szCs w:val="21"/>
        </w:rPr>
        <w:t>8</w:t>
      </w:r>
      <w:r w:rsidRPr="0031202F">
        <w:rPr>
          <w:rFonts w:asciiTheme="majorEastAsia" w:eastAsiaTheme="majorEastAsia" w:hAnsiTheme="majorEastAsia"/>
          <w:szCs w:val="21"/>
        </w:rPr>
        <w:t>月</w:t>
      </w:r>
      <w:r w:rsidRPr="0031202F">
        <w:rPr>
          <w:rFonts w:asciiTheme="majorEastAsia" w:eastAsiaTheme="majorEastAsia" w:hAnsiTheme="majorEastAsia" w:hint="eastAsia"/>
          <w:szCs w:val="21"/>
        </w:rPr>
        <w:t>30</w:t>
      </w:r>
      <w:r w:rsidRPr="0031202F">
        <w:rPr>
          <w:rFonts w:asciiTheme="majorEastAsia" w:eastAsiaTheme="majorEastAsia" w:hAnsiTheme="majorEastAsia"/>
          <w:szCs w:val="21"/>
        </w:rPr>
        <w:t>日</w:t>
      </w:r>
      <w:r w:rsidRPr="0031202F">
        <w:rPr>
          <w:rFonts w:asciiTheme="majorEastAsia" w:eastAsiaTheme="majorEastAsia" w:hAnsiTheme="majorEastAsia" w:hint="eastAsia"/>
          <w:szCs w:val="21"/>
        </w:rPr>
        <w:t>）</w:t>
      </w:r>
    </w:p>
    <w:p w:rsidR="004D2F57" w:rsidRPr="0031202F" w:rsidRDefault="004D2F57" w:rsidP="004947AD">
      <w:pPr>
        <w:widowControl/>
        <w:spacing w:line="360" w:lineRule="auto"/>
        <w:contextualSpacing/>
        <w:jc w:val="left"/>
        <w:rPr>
          <w:rFonts w:asciiTheme="minorEastAsia" w:eastAsiaTheme="minorEastAsia" w:hAnsiTheme="minorEastAsia" w:hint="eastAsia"/>
          <w:b/>
          <w:sz w:val="24"/>
        </w:rPr>
      </w:pPr>
      <w:r w:rsidRPr="0031202F">
        <w:rPr>
          <w:rFonts w:asciiTheme="minorEastAsia" w:eastAsiaTheme="minorEastAsia" w:hAnsiTheme="minorEastAsia" w:hint="eastAsia"/>
          <w:b/>
          <w:sz w:val="24"/>
        </w:rPr>
        <w:t>【地方高教】</w:t>
      </w:r>
    </w:p>
    <w:p w:rsidR="002B10D8" w:rsidRPr="0031202F" w:rsidRDefault="002B10D8" w:rsidP="004947AD">
      <w:pPr>
        <w:widowControl/>
        <w:spacing w:line="360" w:lineRule="auto"/>
        <w:contextualSpacing/>
        <w:jc w:val="center"/>
        <w:rPr>
          <w:rFonts w:asciiTheme="minorEastAsia" w:eastAsiaTheme="minorEastAsia" w:hAnsiTheme="minorEastAsia"/>
          <w:b/>
          <w:sz w:val="24"/>
        </w:rPr>
      </w:pPr>
      <w:r w:rsidRPr="0031202F">
        <w:rPr>
          <w:rFonts w:asciiTheme="minorEastAsia" w:eastAsiaTheme="minorEastAsia" w:hAnsiTheme="minorEastAsia" w:hint="eastAsia"/>
          <w:b/>
          <w:sz w:val="24"/>
        </w:rPr>
        <w:t>福建：高校新闻专业教师到媒体挂职</w:t>
      </w:r>
    </w:p>
    <w:p w:rsidR="004947AD" w:rsidRPr="004947AD" w:rsidRDefault="004947AD"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szCs w:val="21"/>
        </w:rPr>
      </w:pPr>
      <w:r w:rsidRPr="004947AD">
        <w:rPr>
          <w:rFonts w:asciiTheme="majorEastAsia" w:eastAsiaTheme="majorEastAsia" w:hAnsiTheme="majorEastAsia" w:hint="eastAsia"/>
          <w:szCs w:val="21"/>
        </w:rPr>
        <w:t>福建省委宣传部、省教育厅近日下发通知，明确厦门大学、福建师范大学等6所本科高校今年要各选拔推荐一名新闻传播院系骨干教师，到《福建日报》《厦门日报》等主流媒体挂职担任记者，挂职时间为一年</w:t>
      </w:r>
      <w:r w:rsidRPr="0031202F">
        <w:rPr>
          <w:rFonts w:asciiTheme="majorEastAsia" w:eastAsiaTheme="majorEastAsia" w:hAnsiTheme="majorEastAsia" w:hint="eastAsia"/>
          <w:szCs w:val="21"/>
        </w:rPr>
        <w:t>，</w:t>
      </w:r>
      <w:r w:rsidRPr="004947AD">
        <w:rPr>
          <w:rFonts w:asciiTheme="majorEastAsia" w:eastAsiaTheme="majorEastAsia" w:hAnsiTheme="majorEastAsia" w:hint="eastAsia"/>
          <w:szCs w:val="21"/>
        </w:rPr>
        <w:t>旨在加强高校新闻传播院系师资队伍建设，逐步推动新闻教学与新闻实践的结合，强化实践教学环节，努力造就一大批政治立场坚定、业务能力精良、作风素质过硬的新闻传播后备人才，为推进福建新闻事业健康发展提供强有力的人才保障和智力支持。</w:t>
      </w:r>
    </w:p>
    <w:p w:rsidR="004947AD" w:rsidRPr="004947AD" w:rsidRDefault="004947AD" w:rsidP="004947AD">
      <w:pPr>
        <w:pStyle w:val="a5"/>
        <w:shd w:val="clear" w:color="auto" w:fill="FFFFFF"/>
        <w:spacing w:before="0" w:beforeAutospacing="0" w:after="210" w:afterAutospacing="0" w:line="360" w:lineRule="auto"/>
        <w:ind w:firstLineChars="200" w:firstLine="480"/>
        <w:contextualSpacing/>
        <w:rPr>
          <w:rFonts w:asciiTheme="majorEastAsia" w:eastAsiaTheme="majorEastAsia" w:hAnsiTheme="majorEastAsia" w:hint="eastAsia"/>
          <w:szCs w:val="21"/>
        </w:rPr>
      </w:pPr>
      <w:r w:rsidRPr="004947AD">
        <w:rPr>
          <w:rFonts w:asciiTheme="majorEastAsia" w:eastAsiaTheme="majorEastAsia" w:hAnsiTheme="majorEastAsia" w:hint="eastAsia"/>
          <w:szCs w:val="21"/>
        </w:rPr>
        <w:t>福建要求，高校新闻传播院系骨干教师到所在地主流媒体脱产挂实职，要有明确任务分工，参与采编一线工作。同时，实行高校教师到新闻单位挂职和科研课题研究相结合的工作模式，由省委宣传部进行课题立项。</w:t>
      </w:r>
    </w:p>
    <w:p w:rsidR="004D2F57" w:rsidRPr="00523B5E" w:rsidRDefault="004D2F57" w:rsidP="004947AD">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31202F">
        <w:rPr>
          <w:rFonts w:asciiTheme="majorEastAsia" w:eastAsiaTheme="majorEastAsia" w:hAnsiTheme="majorEastAsia" w:hint="eastAsia"/>
          <w:szCs w:val="21"/>
        </w:rPr>
        <w:t>（摘编自《中国教育</w:t>
      </w:r>
      <w:r w:rsidRPr="0031202F">
        <w:rPr>
          <w:rFonts w:asciiTheme="majorEastAsia" w:eastAsiaTheme="majorEastAsia" w:hAnsiTheme="majorEastAsia"/>
          <w:szCs w:val="21"/>
        </w:rPr>
        <w:t>报</w:t>
      </w:r>
      <w:r w:rsidRPr="0031202F">
        <w:rPr>
          <w:rFonts w:asciiTheme="majorEastAsia" w:eastAsiaTheme="majorEastAsia" w:hAnsiTheme="majorEastAsia" w:hint="eastAsia"/>
          <w:szCs w:val="21"/>
        </w:rPr>
        <w:t>》2</w:t>
      </w:r>
      <w:r w:rsidRPr="0031202F">
        <w:rPr>
          <w:rFonts w:asciiTheme="majorEastAsia" w:eastAsiaTheme="majorEastAsia" w:hAnsiTheme="majorEastAsia"/>
          <w:szCs w:val="21"/>
        </w:rPr>
        <w:t>01</w:t>
      </w:r>
      <w:r w:rsidRPr="0031202F">
        <w:rPr>
          <w:rFonts w:asciiTheme="majorEastAsia" w:eastAsiaTheme="majorEastAsia" w:hAnsiTheme="majorEastAsia" w:hint="eastAsia"/>
          <w:szCs w:val="21"/>
        </w:rPr>
        <w:t>7</w:t>
      </w:r>
      <w:r w:rsidRPr="00523B5E">
        <w:rPr>
          <w:rFonts w:asciiTheme="majorEastAsia" w:eastAsiaTheme="majorEastAsia" w:hAnsiTheme="majorEastAsia"/>
          <w:color w:val="000000"/>
          <w:szCs w:val="21"/>
        </w:rPr>
        <w:t>年</w:t>
      </w:r>
      <w:r w:rsidR="002B10D8">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月</w:t>
      </w:r>
      <w:r w:rsidR="002B10D8">
        <w:rPr>
          <w:rFonts w:asciiTheme="majorEastAsia" w:eastAsiaTheme="majorEastAsia" w:hAnsiTheme="majorEastAsia" w:hint="eastAsia"/>
          <w:color w:val="000000"/>
          <w:szCs w:val="21"/>
        </w:rPr>
        <w:t>6</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sectPr w:rsidR="004D2F57" w:rsidRPr="00523B5E"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530" w:rsidRDefault="00190530" w:rsidP="009F0590">
      <w:r>
        <w:separator/>
      </w:r>
    </w:p>
  </w:endnote>
  <w:endnote w:type="continuationSeparator" w:id="1">
    <w:p w:rsidR="00190530" w:rsidRDefault="00190530"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9825CF">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9825CF">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530" w:rsidRDefault="00190530" w:rsidP="009F0590">
      <w:r>
        <w:separator/>
      </w:r>
    </w:p>
  </w:footnote>
  <w:footnote w:type="continuationSeparator" w:id="1">
    <w:p w:rsidR="00190530" w:rsidRDefault="00190530"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5E23"/>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530"/>
    <w:rsid w:val="00190EF0"/>
    <w:rsid w:val="001920C4"/>
    <w:rsid w:val="001949A8"/>
    <w:rsid w:val="00197A92"/>
    <w:rsid w:val="001A023E"/>
    <w:rsid w:val="001A0F6A"/>
    <w:rsid w:val="001A6048"/>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600"/>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4CBA"/>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0D8"/>
    <w:rsid w:val="002B15C6"/>
    <w:rsid w:val="002B2180"/>
    <w:rsid w:val="002B45FE"/>
    <w:rsid w:val="002B5C90"/>
    <w:rsid w:val="002B6EA4"/>
    <w:rsid w:val="002B7E36"/>
    <w:rsid w:val="002C0205"/>
    <w:rsid w:val="002C176E"/>
    <w:rsid w:val="002C4257"/>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202F"/>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2558"/>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494B"/>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1D8B"/>
    <w:rsid w:val="00493835"/>
    <w:rsid w:val="004947AD"/>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6FED"/>
    <w:rsid w:val="004F72F1"/>
    <w:rsid w:val="005009E7"/>
    <w:rsid w:val="00502D9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54C7"/>
    <w:rsid w:val="00545B0A"/>
    <w:rsid w:val="00545EB3"/>
    <w:rsid w:val="0055069D"/>
    <w:rsid w:val="00550869"/>
    <w:rsid w:val="005537E5"/>
    <w:rsid w:val="00557698"/>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606D"/>
    <w:rsid w:val="005962DD"/>
    <w:rsid w:val="005A2969"/>
    <w:rsid w:val="005A4452"/>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B172B"/>
    <w:rsid w:val="007B1A0E"/>
    <w:rsid w:val="007B3AF9"/>
    <w:rsid w:val="007B4E47"/>
    <w:rsid w:val="007B7FEC"/>
    <w:rsid w:val="007C12FF"/>
    <w:rsid w:val="007C209A"/>
    <w:rsid w:val="007C347C"/>
    <w:rsid w:val="007C4585"/>
    <w:rsid w:val="007C72C2"/>
    <w:rsid w:val="007C7A84"/>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1FE"/>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2E72"/>
    <w:rsid w:val="0089372A"/>
    <w:rsid w:val="0089501D"/>
    <w:rsid w:val="00896110"/>
    <w:rsid w:val="008970B7"/>
    <w:rsid w:val="00897FB4"/>
    <w:rsid w:val="008A0A3B"/>
    <w:rsid w:val="008A1D7C"/>
    <w:rsid w:val="008A3031"/>
    <w:rsid w:val="008B0B17"/>
    <w:rsid w:val="008B1DF5"/>
    <w:rsid w:val="008B2C83"/>
    <w:rsid w:val="008B4559"/>
    <w:rsid w:val="008B48DB"/>
    <w:rsid w:val="008B582A"/>
    <w:rsid w:val="008B75B0"/>
    <w:rsid w:val="008C0FA1"/>
    <w:rsid w:val="008C1093"/>
    <w:rsid w:val="008C6319"/>
    <w:rsid w:val="008C6415"/>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82"/>
    <w:rsid w:val="009254FE"/>
    <w:rsid w:val="00925D43"/>
    <w:rsid w:val="00927421"/>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25CF"/>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A2C"/>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8024E"/>
    <w:rsid w:val="00B832F6"/>
    <w:rsid w:val="00B87BE4"/>
    <w:rsid w:val="00B87CF8"/>
    <w:rsid w:val="00B9007E"/>
    <w:rsid w:val="00B91C05"/>
    <w:rsid w:val="00B939EC"/>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E85"/>
    <w:rsid w:val="00CD202E"/>
    <w:rsid w:val="00CD2E06"/>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3214"/>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F6E"/>
    <w:rsid w:val="00D84B11"/>
    <w:rsid w:val="00D84E12"/>
    <w:rsid w:val="00D853FC"/>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2D7E"/>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65044">
      <w:bodyDiv w:val="1"/>
      <w:marLeft w:val="0"/>
      <w:marRight w:val="0"/>
      <w:marTop w:val="0"/>
      <w:marBottom w:val="0"/>
      <w:divBdr>
        <w:top w:val="none" w:sz="0" w:space="0" w:color="auto"/>
        <w:left w:val="none" w:sz="0" w:space="0" w:color="auto"/>
        <w:bottom w:val="none" w:sz="0" w:space="0" w:color="auto"/>
        <w:right w:val="none" w:sz="0" w:space="0" w:color="auto"/>
      </w:divBdr>
      <w:divsChild>
        <w:div w:id="737939972">
          <w:marLeft w:val="0"/>
          <w:marRight w:val="0"/>
          <w:marTop w:val="0"/>
          <w:marBottom w:val="0"/>
          <w:divBdr>
            <w:top w:val="none" w:sz="0" w:space="0" w:color="auto"/>
            <w:left w:val="none" w:sz="0" w:space="0" w:color="auto"/>
            <w:bottom w:val="none" w:sz="0" w:space="0" w:color="auto"/>
            <w:right w:val="none" w:sz="0" w:space="0" w:color="auto"/>
          </w:divBdr>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49076">
      <w:bodyDiv w:val="1"/>
      <w:marLeft w:val="0"/>
      <w:marRight w:val="0"/>
      <w:marTop w:val="0"/>
      <w:marBottom w:val="0"/>
      <w:divBdr>
        <w:top w:val="none" w:sz="0" w:space="0" w:color="auto"/>
        <w:left w:val="none" w:sz="0" w:space="0" w:color="auto"/>
        <w:bottom w:val="none" w:sz="0" w:space="0" w:color="auto"/>
        <w:right w:val="none" w:sz="0" w:space="0" w:color="auto"/>
      </w:divBdr>
      <w:divsChild>
        <w:div w:id="529537151">
          <w:marLeft w:val="0"/>
          <w:marRight w:val="0"/>
          <w:marTop w:val="0"/>
          <w:marBottom w:val="300"/>
          <w:divBdr>
            <w:top w:val="none" w:sz="0" w:space="0" w:color="auto"/>
            <w:left w:val="none" w:sz="0" w:space="0" w:color="auto"/>
            <w:bottom w:val="none" w:sz="0" w:space="0" w:color="auto"/>
            <w:right w:val="none" w:sz="0" w:space="0" w:color="auto"/>
          </w:divBdr>
          <w:divsChild>
            <w:div w:id="495924685">
              <w:marLeft w:val="0"/>
              <w:marRight w:val="0"/>
              <w:marTop w:val="0"/>
              <w:marBottom w:val="0"/>
              <w:divBdr>
                <w:top w:val="none" w:sz="0" w:space="0" w:color="auto"/>
                <w:left w:val="none" w:sz="0" w:space="0" w:color="auto"/>
                <w:bottom w:val="none" w:sz="0" w:space="0" w:color="auto"/>
                <w:right w:val="none" w:sz="0" w:space="0" w:color="auto"/>
              </w:divBdr>
              <w:divsChild>
                <w:div w:id="1857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4827">
      <w:bodyDiv w:val="1"/>
      <w:marLeft w:val="0"/>
      <w:marRight w:val="0"/>
      <w:marTop w:val="0"/>
      <w:marBottom w:val="0"/>
      <w:divBdr>
        <w:top w:val="none" w:sz="0" w:space="0" w:color="auto"/>
        <w:left w:val="none" w:sz="0" w:space="0" w:color="auto"/>
        <w:bottom w:val="none" w:sz="0" w:space="0" w:color="auto"/>
        <w:right w:val="none" w:sz="0" w:space="0" w:color="auto"/>
      </w:divBdr>
      <w:divsChild>
        <w:div w:id="79837304">
          <w:marLeft w:val="0"/>
          <w:marRight w:val="0"/>
          <w:marTop w:val="0"/>
          <w:marBottom w:val="0"/>
          <w:divBdr>
            <w:top w:val="none" w:sz="0" w:space="0" w:color="auto"/>
            <w:left w:val="none" w:sz="0" w:space="0" w:color="auto"/>
            <w:bottom w:val="none" w:sz="0" w:space="0" w:color="auto"/>
            <w:right w:val="none" w:sz="0" w:space="0" w:color="auto"/>
          </w:divBdr>
          <w:divsChild>
            <w:div w:id="407315138">
              <w:marLeft w:val="0"/>
              <w:marRight w:val="0"/>
              <w:marTop w:val="0"/>
              <w:marBottom w:val="0"/>
              <w:divBdr>
                <w:top w:val="none" w:sz="0" w:space="0" w:color="auto"/>
                <w:left w:val="none" w:sz="0" w:space="0" w:color="auto"/>
                <w:bottom w:val="none" w:sz="0" w:space="0" w:color="auto"/>
                <w:right w:val="none" w:sz="0" w:space="0" w:color="auto"/>
              </w:divBdr>
              <w:divsChild>
                <w:div w:id="1109814277">
                  <w:marLeft w:val="0"/>
                  <w:marRight w:val="0"/>
                  <w:marTop w:val="0"/>
                  <w:marBottom w:val="0"/>
                  <w:divBdr>
                    <w:top w:val="none" w:sz="0" w:space="0" w:color="auto"/>
                    <w:left w:val="none" w:sz="0" w:space="0" w:color="auto"/>
                    <w:bottom w:val="none" w:sz="0" w:space="0" w:color="auto"/>
                    <w:right w:val="none" w:sz="0" w:space="0" w:color="auto"/>
                  </w:divBdr>
                  <w:divsChild>
                    <w:div w:id="901448329">
                      <w:marLeft w:val="0"/>
                      <w:marRight w:val="0"/>
                      <w:marTop w:val="0"/>
                      <w:marBottom w:val="0"/>
                      <w:divBdr>
                        <w:top w:val="none" w:sz="0" w:space="0" w:color="auto"/>
                        <w:left w:val="none" w:sz="0" w:space="0" w:color="auto"/>
                        <w:bottom w:val="none" w:sz="0" w:space="0" w:color="auto"/>
                        <w:right w:val="none" w:sz="0" w:space="0" w:color="auto"/>
                      </w:divBdr>
                      <w:divsChild>
                        <w:div w:id="1422333955">
                          <w:marLeft w:val="0"/>
                          <w:marRight w:val="0"/>
                          <w:marTop w:val="0"/>
                          <w:marBottom w:val="0"/>
                          <w:divBdr>
                            <w:top w:val="none" w:sz="0" w:space="0" w:color="auto"/>
                            <w:left w:val="none" w:sz="0" w:space="0" w:color="auto"/>
                            <w:bottom w:val="none" w:sz="0" w:space="0" w:color="auto"/>
                            <w:right w:val="none" w:sz="0" w:space="0" w:color="auto"/>
                          </w:divBdr>
                          <w:divsChild>
                            <w:div w:id="12811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4607</TotalTime>
  <Pages>4</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庄新霞</cp:lastModifiedBy>
  <cp:revision>739</cp:revision>
  <dcterms:created xsi:type="dcterms:W3CDTF">2015-05-04T05:42:00Z</dcterms:created>
  <dcterms:modified xsi:type="dcterms:W3CDTF">2017-09-07T01:02:00Z</dcterms:modified>
</cp:coreProperties>
</file>